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0F8" w:rsidRPr="00424B7F" w:rsidRDefault="00BF4CCC" w:rsidP="00424B7F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/>
          <w:bCs/>
          <w:noProof/>
          <w:kern w:val="0"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3144520</wp:posOffset>
            </wp:positionH>
            <wp:positionV relativeFrom="paragraph">
              <wp:posOffset>22225</wp:posOffset>
            </wp:positionV>
            <wp:extent cx="2106295" cy="2857500"/>
            <wp:effectExtent l="0" t="0" r="8255" b="0"/>
            <wp:wrapSquare wrapText="bothSides"/>
            <wp:docPr id="1" name="图片 1" descr="C:\Users\pmw\Desktop\潘明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mw\Desktop\潘明旺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4514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4B7F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潘明旺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，男，教授，博士生导师。1987年于安徽大学化学系获得理学学士学位，2003年于河北工业大学材料物理与化学专业获得工学博士学位。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1997.9—至今，河北工业大学化工学院高分子科学与工程系工作；2009.8—2010.9，美国Case Western Reserve University--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-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Visiting Professor；1993.7—1997.8，河北工业大学科技产业处化工开发研究中心工作；1987.7—1990.8，安徽芜湖长江酒厂生产技术科工作。</w:t>
      </w:r>
    </w:p>
    <w:p w:rsidR="003430F8" w:rsidRPr="00424B7F" w:rsidRDefault="00BF4CCC" w:rsidP="00424B7F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学术成果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：主持完成国家自然科学基金面上项目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1项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主持完成河北省自然科学基金项目4项，主持完成河北省教育厅科学研究计划项目1项，主持完成与企业合作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研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发项目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近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20项。1994年负责完成的“甲烷</w:t>
      </w:r>
      <w:proofErr w:type="gramStart"/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磺</w:t>
      </w:r>
      <w:proofErr w:type="gramEnd"/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酰氯合成新工艺研究”项目率先在国内投入工业化生产，创造直接经济效益</w:t>
      </w:r>
      <w:r w:rsidR="001C5932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数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亿元；高抗冲乳液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（悬浮）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法ACR接枝VC共聚树脂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项目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列入了2010年国家重点新产品计划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和</w:t>
      </w:r>
      <w:proofErr w:type="gramStart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国家发改委</w:t>
      </w:r>
      <w:proofErr w:type="gramEnd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支持计划；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2011年高抗冲PVC共聚树脂实现工业化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，聚合</w:t>
      </w:r>
      <w:proofErr w:type="gramStart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釜</w:t>
      </w:r>
      <w:proofErr w:type="gramEnd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容积达到30立方米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，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年设计生产能力达到万吨级，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同时作为重要的特种功能型合成树脂，填补了国内特种PVC树脂的空白。2015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年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主持完成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的“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集增韧和增容于一体的新型聚氯乙烯冲击改性剂的工业化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”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项目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实现产业化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，新产品已投放市场推广应用。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同时，在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Macromolecules, Macromolecular Rapid Communication, Soft Matter, Langmuir, Polymer, Industrial &amp; Engineering Chemistry Research等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著名期刊上发表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学术论文120余篇。以第一发明人授权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和公开中国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发明专利1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9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项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，专利技术实现产业化4项。2006年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获得河北省科学技术发明二等奖1项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，2010和2012年获得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河北省科技进步三等奖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各1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项。担任Macromolecules, ACS Applied Materials &amp; Interfaces, Green Chemistry, Chemical Communication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,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 xml:space="preserve"> Journal of Hazardous Materials, Polymer Chemistry, Physical Chemistry Chemical Physics, Langmuir等16家国外著名杂志的审稿人。</w:t>
      </w:r>
    </w:p>
    <w:p w:rsidR="001C5932" w:rsidRPr="00424B7F" w:rsidRDefault="00BF4CCC" w:rsidP="00424B7F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/>
          <w:b/>
          <w:bCs/>
          <w:kern w:val="0"/>
          <w:sz w:val="18"/>
          <w:szCs w:val="18"/>
        </w:rPr>
        <w:t>研究</w:t>
      </w:r>
      <w:r w:rsidRPr="00424B7F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领域：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采用乳液聚合、悬浮聚合和分散聚合等聚合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实施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方法，基于传统自由基聚合和活性</w:t>
      </w:r>
      <w:proofErr w:type="gramStart"/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自由基</w:t>
      </w:r>
      <w:proofErr w:type="gramEnd"/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聚合机理在水性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或环境友好的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体系中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构筑核/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壳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结构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、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Yolk/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Shell结构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以及不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对称结构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（Janus）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纳米复合粒子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。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同时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采用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种子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纳米复合技术进行共聚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-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共混改性聚合物及其高性能化研究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。近年来，主要从事聚丙烯酸酯共混改性聚氯乙烯、聚丙烯酸酯悬浮或乳液原位接枝氯乙烯及其共聚物、聚丙烯酸酯—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聚氨酯共聚乳液粘合剂、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水性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涂料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、含氟聚合物（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聚偏氟乙烯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、聚三氟氯乙烯）及其共聚物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改性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、结晶性聚合物受限结晶行为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等研究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。</w:t>
      </w:r>
    </w:p>
    <w:p w:rsidR="003430F8" w:rsidRPr="00424B7F" w:rsidRDefault="001C5932" w:rsidP="00424B7F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研究方向：</w:t>
      </w:r>
      <w:r w:rsidR="00BF4CCC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本课题组一直致力于聚合物/聚合物、聚合物/无机纳米粒子的原位复合改性及其应用性能研究，具体包括：</w:t>
      </w:r>
    </w:p>
    <w:p w:rsidR="003430F8" w:rsidRPr="00424B7F" w:rsidRDefault="00BF4CCC" w:rsidP="00424B7F">
      <w:pPr>
        <w:widowControl/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（1）纳米复合粒子接枝共聚与共混改性聚合物研究，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通过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增韧/增容改性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基本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原理实现通用高分子材料和生物可降解高分子材料的高性能化。</w:t>
      </w:r>
    </w:p>
    <w:p w:rsidR="001C5932" w:rsidRPr="00424B7F" w:rsidRDefault="00BF4CCC" w:rsidP="00424B7F">
      <w:pPr>
        <w:widowControl/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（2）通过有机/有机、无机/有机纳米粒子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的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原位复合，结合聚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丙烯酸酯、水性聚氨酯、含氟聚合物复合胶乳的优良特性，将其应用</w:t>
      </w:r>
      <w:bookmarkStart w:id="0" w:name="_GoBack"/>
      <w:bookmarkEnd w:id="0"/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于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疏水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、</w:t>
      </w:r>
      <w:proofErr w:type="gramStart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疏油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和</w:t>
      </w:r>
      <w:proofErr w:type="gramEnd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抗冰涂层。</w:t>
      </w:r>
    </w:p>
    <w:p w:rsidR="003430F8" w:rsidRPr="00424B7F" w:rsidRDefault="00BF4CCC" w:rsidP="00424B7F">
      <w:pPr>
        <w:widowControl/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采用（无皂）种子乳液聚合方法，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依据第二聚合物与种子之间不相容性所产生的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相分离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实现微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/</w:t>
      </w:r>
      <w:proofErr w:type="gramStart"/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纳结构</w:t>
      </w:r>
      <w:proofErr w:type="gramEnd"/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可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控，制备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具有超疏水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、</w:t>
      </w:r>
      <w:proofErr w:type="gramStart"/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超疏油</w:t>
      </w:r>
      <w:proofErr w:type="gramEnd"/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和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抗冰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特性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的复杂胶体粒子</w:t>
      </w:r>
      <w:r w:rsidR="000E337A" w:rsidRPr="00424B7F">
        <w:rPr>
          <w:rFonts w:ascii="宋体" w:eastAsia="宋体" w:hAnsi="宋体" w:cs="宋体"/>
          <w:bCs/>
          <w:kern w:val="0"/>
          <w:sz w:val="18"/>
          <w:szCs w:val="18"/>
        </w:rPr>
        <w:t>，期望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将其</w:t>
      </w:r>
      <w:r w:rsidR="000E337A" w:rsidRPr="00424B7F">
        <w:rPr>
          <w:rFonts w:ascii="宋体" w:eastAsia="宋体" w:hAnsi="宋体" w:cs="宋体"/>
          <w:bCs/>
          <w:kern w:val="0"/>
          <w:sz w:val="18"/>
          <w:szCs w:val="18"/>
        </w:rPr>
        <w:t>应用于</w:t>
      </w:r>
      <w:r w:rsidR="000E337A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功能型水性涂料</w:t>
      </w:r>
      <w:r w:rsidR="000E337A" w:rsidRPr="00424B7F">
        <w:rPr>
          <w:rFonts w:ascii="宋体" w:eastAsia="宋体" w:hAnsi="宋体" w:cs="宋体"/>
          <w:bCs/>
          <w:kern w:val="0"/>
          <w:sz w:val="18"/>
          <w:szCs w:val="18"/>
        </w:rPr>
        <w:t>领域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。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此外，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通过Pickering乳液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等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方法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，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实现Janus粒子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的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界面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自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组装，研究复杂胶体粒子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在组装过程中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的形态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演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化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及其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成膜机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制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。</w:t>
      </w:r>
    </w:p>
    <w:p w:rsidR="003430F8" w:rsidRPr="00424B7F" w:rsidRDefault="00BF4CCC" w:rsidP="00424B7F">
      <w:pPr>
        <w:widowControl/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（3）研究简洁制备Y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olk/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S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hell结构粒子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的新方法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，为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Y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olk/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S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hell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复合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粒子的规模化制造提供新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思路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。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进一步将该结构粒子负载金属，研究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该类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负载</w:t>
      </w:r>
      <w:r w:rsidR="00D16BA8"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型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催化剂在催化领域的实际应用价值。</w:t>
      </w:r>
    </w:p>
    <w:p w:rsidR="003430F8" w:rsidRPr="00424B7F" w:rsidRDefault="00BF4CCC" w:rsidP="00424B7F">
      <w:pPr>
        <w:ind w:firstLineChars="200" w:firstLine="361"/>
        <w:rPr>
          <w:rFonts w:ascii="宋体" w:eastAsia="宋体" w:hAnsi="宋体" w:cs="宋体"/>
          <w:kern w:val="0"/>
          <w:sz w:val="18"/>
          <w:szCs w:val="18"/>
        </w:rPr>
      </w:pPr>
      <w:r w:rsidRPr="00424B7F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2</w:t>
      </w:r>
      <w:r w:rsidRPr="00424B7F">
        <w:rPr>
          <w:rFonts w:ascii="宋体" w:eastAsia="宋体" w:hAnsi="宋体" w:cs="宋体"/>
          <w:b/>
          <w:bCs/>
          <w:kern w:val="0"/>
          <w:sz w:val="18"/>
          <w:szCs w:val="18"/>
        </w:rPr>
        <w:t>019</w:t>
      </w:r>
      <w:r w:rsidRPr="00424B7F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年拟招收博士研究生2名。</w:t>
      </w:r>
    </w:p>
    <w:p w:rsidR="003430F8" w:rsidRPr="00424B7F" w:rsidRDefault="00BF4CCC" w:rsidP="00424B7F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424B7F">
        <w:rPr>
          <w:rFonts w:ascii="宋体" w:eastAsia="宋体" w:hAnsi="宋体" w:cs="宋体"/>
          <w:b/>
          <w:bCs/>
          <w:kern w:val="0"/>
          <w:sz w:val="18"/>
          <w:szCs w:val="18"/>
        </w:rPr>
        <w:t>联系方式：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022-60202054</w:t>
      </w:r>
      <w:r w:rsidRPr="00424B7F">
        <w:rPr>
          <w:rFonts w:ascii="宋体" w:eastAsia="宋体" w:hAnsi="宋体" w:cs="宋体" w:hint="eastAsia"/>
          <w:bCs/>
          <w:kern w:val="0"/>
          <w:sz w:val="18"/>
          <w:szCs w:val="18"/>
        </w:rPr>
        <w:t>；</w:t>
      </w:r>
      <w:r w:rsidRPr="00424B7F">
        <w:rPr>
          <w:rFonts w:ascii="宋体" w:eastAsia="宋体" w:hAnsi="宋体" w:cs="宋体"/>
          <w:bCs/>
          <w:kern w:val="0"/>
          <w:sz w:val="18"/>
          <w:szCs w:val="18"/>
        </w:rPr>
        <w:t>mwpan@126.com</w:t>
      </w:r>
    </w:p>
    <w:sectPr w:rsidR="003430F8" w:rsidRPr="00424B7F" w:rsidSect="0099680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51" w:rsidRDefault="00B34951">
      <w:r>
        <w:separator/>
      </w:r>
    </w:p>
  </w:endnote>
  <w:endnote w:type="continuationSeparator" w:id="0">
    <w:p w:rsidR="00B34951" w:rsidRDefault="00B3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51" w:rsidRDefault="00B34951">
      <w:r>
        <w:separator/>
      </w:r>
    </w:p>
  </w:footnote>
  <w:footnote w:type="continuationSeparator" w:id="0">
    <w:p w:rsidR="00B34951" w:rsidRDefault="00B34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F8" w:rsidRDefault="00BF4CCC">
    <w:pPr>
      <w:pStyle w:val="a9"/>
      <w:jc w:val="left"/>
    </w:pPr>
    <w:r>
      <w:rPr>
        <w:rFonts w:hint="eastAsia"/>
      </w:rPr>
      <w:t>河北工业大学博士研究生指导教师</w:t>
    </w:r>
    <w:r w:rsidR="005849DF">
      <w:rPr>
        <w:rFonts w:hint="eastAsia"/>
      </w:rPr>
      <w:t xml:space="preserve">                                        </w:t>
    </w:r>
    <w:r>
      <w:rPr>
        <w:rFonts w:hint="eastAsia"/>
      </w:rPr>
      <w:t>化学工程与技术：潘明旺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81C27"/>
    <w:rsid w:val="000B15C5"/>
    <w:rsid w:val="000E337A"/>
    <w:rsid w:val="00196E6A"/>
    <w:rsid w:val="001C5932"/>
    <w:rsid w:val="001E31CD"/>
    <w:rsid w:val="001E5F34"/>
    <w:rsid w:val="00287576"/>
    <w:rsid w:val="002C04EF"/>
    <w:rsid w:val="003430F8"/>
    <w:rsid w:val="0035276B"/>
    <w:rsid w:val="00366797"/>
    <w:rsid w:val="00370D48"/>
    <w:rsid w:val="00424B7F"/>
    <w:rsid w:val="00430E2D"/>
    <w:rsid w:val="00452393"/>
    <w:rsid w:val="00457937"/>
    <w:rsid w:val="0049224B"/>
    <w:rsid w:val="004A2514"/>
    <w:rsid w:val="00546525"/>
    <w:rsid w:val="00581FAD"/>
    <w:rsid w:val="005849DF"/>
    <w:rsid w:val="005C26BA"/>
    <w:rsid w:val="00612736"/>
    <w:rsid w:val="00653762"/>
    <w:rsid w:val="00695C3B"/>
    <w:rsid w:val="006F2891"/>
    <w:rsid w:val="00706257"/>
    <w:rsid w:val="007206BC"/>
    <w:rsid w:val="007504A8"/>
    <w:rsid w:val="00751371"/>
    <w:rsid w:val="007733B4"/>
    <w:rsid w:val="00780C81"/>
    <w:rsid w:val="007B1012"/>
    <w:rsid w:val="007B6071"/>
    <w:rsid w:val="0089379F"/>
    <w:rsid w:val="008D55FE"/>
    <w:rsid w:val="008E1839"/>
    <w:rsid w:val="00913106"/>
    <w:rsid w:val="0099680B"/>
    <w:rsid w:val="009A75D3"/>
    <w:rsid w:val="009F30EE"/>
    <w:rsid w:val="00A8545A"/>
    <w:rsid w:val="00AC228A"/>
    <w:rsid w:val="00AD5625"/>
    <w:rsid w:val="00AF1376"/>
    <w:rsid w:val="00B02BBC"/>
    <w:rsid w:val="00B14D21"/>
    <w:rsid w:val="00B34951"/>
    <w:rsid w:val="00B84F61"/>
    <w:rsid w:val="00BE182D"/>
    <w:rsid w:val="00BF4CCC"/>
    <w:rsid w:val="00C31544"/>
    <w:rsid w:val="00C355D1"/>
    <w:rsid w:val="00C45EA7"/>
    <w:rsid w:val="00D16BA8"/>
    <w:rsid w:val="00D70FFF"/>
    <w:rsid w:val="00D77CC6"/>
    <w:rsid w:val="00DF0B14"/>
    <w:rsid w:val="00E218C3"/>
    <w:rsid w:val="00EF31C3"/>
    <w:rsid w:val="00F709DA"/>
    <w:rsid w:val="00F8144E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24F76E4"/>
    <w:rsid w:val="3A632591"/>
    <w:rsid w:val="3C385A80"/>
    <w:rsid w:val="3DA73F44"/>
    <w:rsid w:val="3EF752DB"/>
    <w:rsid w:val="423F5C3E"/>
    <w:rsid w:val="4B92282D"/>
    <w:rsid w:val="5CB60AAD"/>
    <w:rsid w:val="5D033651"/>
    <w:rsid w:val="62442E41"/>
    <w:rsid w:val="63727934"/>
    <w:rsid w:val="659A0C0D"/>
    <w:rsid w:val="66136739"/>
    <w:rsid w:val="66A800CB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19B465C-E1F6-4F0B-A4C8-5F12F6D3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80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99680B"/>
    <w:pPr>
      <w:spacing w:line="360" w:lineRule="auto"/>
      <w:ind w:firstLine="420"/>
    </w:pPr>
    <w:rPr>
      <w:rFonts w:ascii="宋体" w:eastAsia="宋体" w:hAnsi="Times New Roman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sid w:val="0099680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996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996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qFormat/>
    <w:rsid w:val="0099680B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9680B"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sid w:val="0099680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99680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99680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缩进 字符"/>
    <w:basedOn w:val="a0"/>
    <w:link w:val="a3"/>
    <w:qFormat/>
    <w:rsid w:val="0099680B"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29</cp:revision>
  <dcterms:created xsi:type="dcterms:W3CDTF">2018-07-10T01:45:00Z</dcterms:created>
  <dcterms:modified xsi:type="dcterms:W3CDTF">2018-07-19T12:49:00Z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